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258A2F81" w:rsidR="006F60CE" w:rsidRPr="00F33008"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5265C5" w:rsidRPr="00A5588D">
        <w:rPr>
          <w:rFonts w:eastAsiaTheme="majorEastAsia" w:cstheme="minorHAnsi"/>
          <w:b/>
          <w:color w:val="2E74B5" w:themeColor="accent1" w:themeShade="BF"/>
          <w:sz w:val="32"/>
          <w:szCs w:val="32"/>
          <w:lang w:val="el-GR"/>
        </w:rPr>
        <w:t>1</w:t>
      </w:r>
      <w:r w:rsidR="005265C5">
        <w:rPr>
          <w:rFonts w:eastAsiaTheme="majorEastAsia" w:cstheme="minorHAnsi"/>
          <w:b/>
          <w:color w:val="2E74B5" w:themeColor="accent1" w:themeShade="BF"/>
          <w:sz w:val="32"/>
          <w:szCs w:val="32"/>
          <w:lang w:val="en-US"/>
        </w:rPr>
        <w:t>B</w:t>
      </w:r>
      <w:r w:rsidR="00306F15" w:rsidRPr="00A5588D">
        <w:rPr>
          <w:rFonts w:eastAsiaTheme="majorEastAsia" w:cstheme="minorHAnsi"/>
          <w:b/>
          <w:color w:val="2E74B5" w:themeColor="accent1" w:themeShade="BF"/>
          <w:sz w:val="32"/>
          <w:szCs w:val="32"/>
          <w:lang w:val="el-GR"/>
        </w:rPr>
        <w:t>4</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62411E61" w14:textId="22500E04" w:rsidR="00F33008" w:rsidRPr="00F33008" w:rsidRDefault="00F33008" w:rsidP="003E5019">
      <w:pPr>
        <w:rPr>
          <w:rFonts w:eastAsiaTheme="majorEastAsia" w:cstheme="minorHAnsi"/>
          <w:b/>
          <w:color w:val="2E74B5" w:themeColor="accent1" w:themeShade="BF"/>
          <w:sz w:val="32"/>
          <w:szCs w:val="32"/>
          <w:lang w:val="el-GR"/>
        </w:rPr>
      </w:pPr>
      <w:hyperlink r:id="rId11" w:history="1">
        <w:proofErr w:type="spellStart"/>
        <w:r w:rsidRPr="00F33008">
          <w:rPr>
            <w:rStyle w:val="Hyperlink"/>
            <w:rFonts w:eastAsiaTheme="majorEastAsia" w:cstheme="minorHAnsi"/>
            <w:b/>
            <w:sz w:val="32"/>
            <w:szCs w:val="32"/>
            <w:u w:val="none"/>
          </w:rPr>
          <w:t>Δι</w:t>
        </w:r>
        <w:proofErr w:type="spellEnd"/>
        <w:r w:rsidRPr="00F33008">
          <w:rPr>
            <w:rStyle w:val="Hyperlink"/>
            <w:rFonts w:eastAsiaTheme="majorEastAsia" w:cstheme="minorHAnsi"/>
            <w:b/>
            <w:sz w:val="32"/>
            <w:szCs w:val="32"/>
            <w:u w:val="none"/>
          </w:rPr>
          <w:t>αχείριση α</w:t>
        </w:r>
        <w:proofErr w:type="spellStart"/>
        <w:r w:rsidRPr="00F33008">
          <w:rPr>
            <w:rStyle w:val="Hyperlink"/>
            <w:rFonts w:eastAsiaTheme="majorEastAsia" w:cstheme="minorHAnsi"/>
            <w:b/>
            <w:sz w:val="32"/>
            <w:szCs w:val="32"/>
            <w:u w:val="none"/>
          </w:rPr>
          <w:t>λλ</w:t>
        </w:r>
        <w:proofErr w:type="spellEnd"/>
        <w:r w:rsidRPr="00F33008">
          <w:rPr>
            <w:rStyle w:val="Hyperlink"/>
            <w:rFonts w:eastAsiaTheme="majorEastAsia" w:cstheme="minorHAnsi"/>
            <w:b/>
            <w:sz w:val="32"/>
            <w:szCs w:val="32"/>
            <w:u w:val="none"/>
          </w:rPr>
          <w:t xml:space="preserve">αγών και </w:t>
        </w:r>
        <w:proofErr w:type="spellStart"/>
        <w:r w:rsidRPr="00F33008">
          <w:rPr>
            <w:rStyle w:val="Hyperlink"/>
            <w:rFonts w:eastAsiaTheme="majorEastAsia" w:cstheme="minorHAnsi"/>
            <w:b/>
            <w:sz w:val="32"/>
            <w:szCs w:val="32"/>
            <w:u w:val="none"/>
          </w:rPr>
          <w:t>ηγεσί</w:t>
        </w:r>
        <w:proofErr w:type="spellEnd"/>
        <w:r w:rsidRPr="00F33008">
          <w:rPr>
            <w:rStyle w:val="Hyperlink"/>
            <w:rFonts w:eastAsiaTheme="majorEastAsia" w:cstheme="minorHAnsi"/>
            <w:b/>
            <w:sz w:val="32"/>
            <w:szCs w:val="32"/>
            <w:u w:val="none"/>
          </w:rPr>
          <w:t>α</w:t>
        </w:r>
      </w:hyperlink>
    </w:p>
    <w:p w14:paraId="4A524903" w14:textId="58371750" w:rsidR="005265C5" w:rsidRPr="00A5588D" w:rsidRDefault="005265C5" w:rsidP="005265C5">
      <w:pPr>
        <w:rPr>
          <w:rFonts w:eastAsiaTheme="majorEastAsia" w:cstheme="minorHAnsi"/>
          <w:b/>
          <w:color w:val="2E74B5" w:themeColor="accent1" w:themeShade="BF"/>
          <w:sz w:val="32"/>
          <w:szCs w:val="32"/>
          <w:lang w:val="el-GR"/>
        </w:rPr>
      </w:pPr>
    </w:p>
    <w:p w14:paraId="76057D50" w14:textId="77777777" w:rsidR="00A5588D" w:rsidRDefault="00A5588D" w:rsidP="00A5588D">
      <w:pPr>
        <w:jc w:val="both"/>
        <w:rPr>
          <w:lang w:val="el-GR"/>
        </w:rPr>
      </w:pPr>
      <w:r>
        <w:rPr>
          <w:b/>
          <w:bCs/>
          <w:lang w:val="el-GR"/>
        </w:rPr>
        <w:t>[Διαφάνεια 1]</w:t>
      </w:r>
    </w:p>
    <w:p w14:paraId="4BA55FD2" w14:textId="77777777" w:rsidR="00A5588D" w:rsidRDefault="00A5588D" w:rsidP="00A5588D">
      <w:pPr>
        <w:jc w:val="both"/>
        <w:rPr>
          <w:lang w:val="el-GR"/>
        </w:rPr>
      </w:pPr>
      <w:r>
        <w:rPr>
          <w:lang w:val="el-GR"/>
        </w:rPr>
        <w:t>Καλώς ήρθατε στη διαδραστική διάλεξη με τίτλο «Διαχείριση αλλαγών και ηγεσία», που αποτελεί μέρος της Εκπαιδευτικής Ενότητας 1. Η διάλεξη αυτή έχει ως στόχο να σας εφοδιάσει με τις γνώσεις και τις δεξιότητες που απαιτούνται για την αποτελεσματική εφαρμογή και καθοδήγηση των αναγκαίων αλλαγών, συμπεριλαμβανομένης και της ψηφιακής, στο μεταβαλλόμενο τοπίο του τομέα της υγειονομικής περίθαλψης.</w:t>
      </w:r>
    </w:p>
    <w:p w14:paraId="2259DB93" w14:textId="77777777" w:rsidR="00A5588D" w:rsidRDefault="00A5588D" w:rsidP="00A5588D">
      <w:pPr>
        <w:jc w:val="both"/>
        <w:rPr>
          <w:lang w:val="el-GR"/>
        </w:rPr>
      </w:pPr>
      <w:r>
        <w:rPr>
          <w:b/>
          <w:bCs/>
          <w:lang w:val="el-GR"/>
        </w:rPr>
        <w:t>[Διαφάνεια 2]</w:t>
      </w:r>
    </w:p>
    <w:p w14:paraId="6C495989" w14:textId="77777777" w:rsidR="00A5588D" w:rsidRDefault="00A5588D" w:rsidP="00A5588D">
      <w:pPr>
        <w:jc w:val="both"/>
        <w:rPr>
          <w:lang w:val="el-GR"/>
        </w:rPr>
      </w:pPr>
      <w:r>
        <w:rPr>
          <w:lang w:val="el-GR"/>
        </w:rPr>
        <w:t>Σήμερα, θα αναλύσουμε ορισμένα καίριας σημασίας θέματα, όπως τα βασικά μοντέλα διαχείρισης αλλαγών, το μοντέλο των 8 βημάτων του Κότερ, καθώς και οι τυπικές επιπτώσεις της ψηφιοποίησης στο εργασιακό περιβάλλον. Κάθε υποενότητα βασίζεται στην προηγούμενη, εξασφαλίζοντας μια ολοκληρωμένη κατανόηση της διαχείρισης της αλλαγής.</w:t>
      </w:r>
    </w:p>
    <w:p w14:paraId="54FCD361" w14:textId="77777777" w:rsidR="00A5588D" w:rsidRDefault="00A5588D" w:rsidP="00A5588D">
      <w:pPr>
        <w:jc w:val="both"/>
        <w:rPr>
          <w:lang w:val="el-GR"/>
        </w:rPr>
      </w:pPr>
      <w:r>
        <w:rPr>
          <w:b/>
          <w:bCs/>
          <w:lang w:val="el-GR"/>
        </w:rPr>
        <w:t>[Διαφάνεια 3]</w:t>
      </w:r>
    </w:p>
    <w:p w14:paraId="02461EC3" w14:textId="77777777" w:rsidR="00A5588D" w:rsidRDefault="00A5588D" w:rsidP="00A5588D">
      <w:pPr>
        <w:jc w:val="both"/>
        <w:rPr>
          <w:lang w:val="el-GR"/>
        </w:rPr>
      </w:pPr>
      <w:r>
        <w:rPr>
          <w:lang w:val="el-GR"/>
        </w:rPr>
        <w:t>Στο τέλος αυτής της ενότητας, θα έχετε κατανοήσει την έννοια της διαχείρισης της αλλαγής και τη σημασία της στην υγειονομική περίθαλψη, ενώ θα μπορείτε να αναγνωρίσετε τους συνήθεις λόγους αντίστασης στην αλλαγή και να περιγράψετε βασικά μοντέλα διαχείρισης της αλλαγής. Επίσης, θα είστε σε θέση να θα αναγνωρίσετε τις επιπτώσεις της ψηφιοποίησης στο εργασιακό περιβάλλον, ενώ για την καλύτερη εμπέδωση των πληροφοριών η διάλεξη θα ολοκληρωθεί με την ανάλυση μιας μελέτης περίπτωσης που σχετίζεται με τον ψηφιακό μετασχηματισμό στον τομέα υγείας.</w:t>
      </w:r>
    </w:p>
    <w:p w14:paraId="5716CF3E" w14:textId="77777777" w:rsidR="00A5588D" w:rsidRDefault="00A5588D" w:rsidP="00A5588D">
      <w:pPr>
        <w:jc w:val="both"/>
        <w:rPr>
          <w:lang w:val="el-GR"/>
        </w:rPr>
      </w:pPr>
      <w:r>
        <w:rPr>
          <w:b/>
          <w:bCs/>
          <w:lang w:val="el-GR"/>
        </w:rPr>
        <w:t>[Διαφάνεια 4]</w:t>
      </w:r>
    </w:p>
    <w:p w14:paraId="21196468" w14:textId="77777777" w:rsidR="00A5588D" w:rsidRDefault="00A5588D" w:rsidP="00A5588D">
      <w:pPr>
        <w:jc w:val="both"/>
        <w:rPr>
          <w:lang w:val="el-GR"/>
        </w:rPr>
      </w:pPr>
      <w:r>
        <w:rPr>
          <w:lang w:val="el-GR"/>
        </w:rPr>
        <w:t>Ας ξεκινήσουμε με μια εισαγωγή στη διαχείριση των αλλαγών. Η εφαρμογή αλλαγών είναι επιβεβλημένη στον τομέα της υγειονομικής περίθαλψης, κάτι που οφείλεται στις εξελισσόμενες ανάγκες των ασθενών, στη θέσπιση νέων ρυθμιστικών πλαισίων και στις τεχνολογικές εξελίξεις. Η αποτελεσματική διαχείριση της αλλαγής διασφαλίζει ότι αυτές οι μεταβάσεις είναι ομαλές, αποτελεσματικές και επωφελείς για όλους τους ενδιαφερόμενους. Σε αυτή την παρουσίαση, θα διερευνήσουμε βασικές πτυχές της διαχείρισης αλλαγών και της ηγεσίας, συμπεριλαμβανομένων διαφόρων μοντέλων, στρατηγικών για την αντιμετώπιση της αντίστασης και του αντίκτυπου της ψηφιοποίησης.</w:t>
      </w:r>
    </w:p>
    <w:p w14:paraId="662D9CF5" w14:textId="77777777" w:rsidR="00A5588D" w:rsidRDefault="00A5588D" w:rsidP="00A5588D">
      <w:pPr>
        <w:jc w:val="both"/>
        <w:rPr>
          <w:lang w:val="el-GR"/>
        </w:rPr>
      </w:pPr>
      <w:r>
        <w:rPr>
          <w:b/>
          <w:bCs/>
          <w:lang w:val="el-GR"/>
        </w:rPr>
        <w:t>[Διαφάνεια 5]</w:t>
      </w:r>
    </w:p>
    <w:p w14:paraId="7EEB3F2A" w14:textId="77777777" w:rsidR="00A5588D" w:rsidRDefault="00A5588D" w:rsidP="00A5588D">
      <w:pPr>
        <w:jc w:val="both"/>
        <w:rPr>
          <w:lang w:val="el-GR"/>
        </w:rPr>
      </w:pPr>
      <w:r>
        <w:rPr>
          <w:lang w:val="el-GR"/>
        </w:rPr>
        <w:t>Η διαχείριση της αλλαγής περιλαμβάνει την προετοιμασία, την υποστήριξη και τη βοήθεια ατόμων, ομάδων και οργανισμών στην πραγματοποίηση οργανωτικών αλλαγών. Στον τομέα της υγειονομικής περίθαλψης, αυτό είναι ζωτικής σημασίας για την προσαρμογή στις κανονιστικές αλλαγές, τις τεχνολογικές εξελίξεις και τελικά τη βελτίωση της φροντίδας των ασθενών. Χωρίς αποτελεσματική διαχείριση της αλλαγής, αυτές οι μεταβάσεις μπορεί να γίνουν χαοτικές και αντιπαραγωγικές.</w:t>
      </w:r>
    </w:p>
    <w:p w14:paraId="21E31822" w14:textId="77777777" w:rsidR="00A5588D" w:rsidRDefault="00A5588D" w:rsidP="00A5588D">
      <w:pPr>
        <w:jc w:val="both"/>
        <w:rPr>
          <w:lang w:val="el-GR"/>
        </w:rPr>
      </w:pPr>
      <w:r>
        <w:rPr>
          <w:b/>
          <w:bCs/>
          <w:lang w:val="el-GR"/>
        </w:rPr>
        <w:t>[Διαφάνεια 6]</w:t>
      </w:r>
    </w:p>
    <w:p w14:paraId="20219D28" w14:textId="77777777" w:rsidR="00A5588D" w:rsidRDefault="00A5588D" w:rsidP="00A5588D">
      <w:pPr>
        <w:jc w:val="both"/>
        <w:rPr>
          <w:b/>
          <w:bCs/>
          <w:lang w:val="el-GR"/>
        </w:rPr>
      </w:pPr>
      <w:r>
        <w:rPr>
          <w:lang w:val="el-GR"/>
        </w:rPr>
        <w:lastRenderedPageBreak/>
        <w:t>Μία από τις μεγαλύτερες προκλήσεις στη διαχείριση της αλλαγής είναι η αντίσταση στην αλλαγή. Στις συνήθεις αιτίες αντίστασης περιλαμβάνονται ο φόβος για το άγνωστο, η απώλεια της αίσθησης ελέγχου, η δυσπιστία απέναντι  στην ηγεσία, η έλλειψη δεξιοτήτων και η πτωχή ποιότητα επικοινωνίας. Αυτή η αντίσταση μπορεί να επιβραδύνει σημαντικά ή ακόμη και να εκτροχιάσει τις πρωτοβουλίες αλλαγής, οδηγώντας σε μείωση του ηθικού και της παραγωγικότητας.</w:t>
      </w:r>
    </w:p>
    <w:p w14:paraId="4496C1FA" w14:textId="77777777" w:rsidR="00A5588D" w:rsidRDefault="00A5588D" w:rsidP="00A5588D">
      <w:pPr>
        <w:jc w:val="both"/>
        <w:rPr>
          <w:b/>
          <w:bCs/>
          <w:lang w:val="el-GR"/>
        </w:rPr>
      </w:pPr>
      <w:r>
        <w:rPr>
          <w:b/>
          <w:bCs/>
          <w:lang w:val="el-GR"/>
        </w:rPr>
        <w:t>[Διαφάνεια 7]</w:t>
      </w:r>
    </w:p>
    <w:p w14:paraId="669C615E" w14:textId="77777777" w:rsidR="00A5588D" w:rsidRDefault="00A5588D" w:rsidP="00A5588D">
      <w:pPr>
        <w:jc w:val="both"/>
        <w:rPr>
          <w:b/>
          <w:bCs/>
          <w:lang w:val="el-GR"/>
        </w:rPr>
      </w:pPr>
      <w:r>
        <w:rPr>
          <w:lang w:val="el-GR"/>
        </w:rPr>
        <w:t>Για να το αντιμετωπίσουμε αυτό, χρειαζόμαστε στρατηγικές για να ξεπεράσουμε την αντίσταση στην αλλαγή στο χώρο της υγείας. Το κλειδί έγκειται στην αποτελεσματική επικοινωνία. Πράγματι, ο διαφανής και ανοικτός διάλογος σχετικά με τους λόγους της αλλαγής και τα οφέλη της, μαζί με τακτικές ενημερώσεις και κύκλους ανατροφοδότησης, μπορεί να μειώσει σημαντικά την αντίσταση. Επιπλέον, η εμπλοκή των ενδιαφερομένων μερών με τη συμμετοχή του προσωπικού στη διαδικασία σχεδιασμού και υλοποίησης και η ανάδειξη διακριθέντων, ή «πρωταθλητών» του τομέα της αλλαγής εντός του οργανισμού μπορεί να συμβάλλει αποφασιστικά στην κάμψη της αντίστασης στην αλλαγή.</w:t>
      </w:r>
    </w:p>
    <w:p w14:paraId="18505347" w14:textId="77777777" w:rsidR="00A5588D" w:rsidRDefault="00A5588D" w:rsidP="00A5588D">
      <w:pPr>
        <w:jc w:val="both"/>
        <w:rPr>
          <w:lang w:val="el-GR"/>
        </w:rPr>
      </w:pPr>
      <w:r>
        <w:rPr>
          <w:b/>
          <w:bCs/>
          <w:lang w:val="el-GR"/>
        </w:rPr>
        <w:t>[Διαφάνεια 8]</w:t>
      </w:r>
    </w:p>
    <w:p w14:paraId="5C97957F" w14:textId="77777777" w:rsidR="00A5588D" w:rsidRDefault="00A5588D" w:rsidP="00A5588D">
      <w:pPr>
        <w:jc w:val="both"/>
        <w:rPr>
          <w:lang w:val="el-GR"/>
        </w:rPr>
      </w:pPr>
      <w:r>
        <w:rPr>
          <w:lang w:val="el-GR"/>
        </w:rPr>
        <w:t>Περαιτέρω στρατηγικές περιλαμβάνουν την παροχή υποστήριξης και κατάρτισης. Τα ολοκληρωμένα προγράμματα κατάρτισης εφοδιάζουν το προσωπικό με τις απαραίτητες δεξιότητες, ενώ η συνεχής υποστήριξη και η επάρκεια πόρων κατά τη διάρκεια της μεταβατικής περιόδου μπορούν να συμβάλουν στη διατήρηση της αυτοπεποίθησης και της επάρκειας. Η αντιμετώπιση των ανησυχιών και η παροχή καθησυχασμού σχετικά με την ασφάλεια της εργασίας και την υποστήριξη είναι επίσης ζωτικής σημασίας για την άμβλυνση των φόβων και την επικράτηση κλίματος εμπιστοσύνης.</w:t>
      </w:r>
    </w:p>
    <w:p w14:paraId="3E4F06A6" w14:textId="77777777" w:rsidR="00A5588D" w:rsidRDefault="00A5588D" w:rsidP="00A5588D">
      <w:pPr>
        <w:jc w:val="both"/>
        <w:rPr>
          <w:lang w:val="el-GR"/>
        </w:rPr>
      </w:pPr>
      <w:r>
        <w:rPr>
          <w:b/>
          <w:bCs/>
          <w:lang w:val="el-GR"/>
        </w:rPr>
        <w:t>[Διαφάνεια 9]</w:t>
      </w:r>
    </w:p>
    <w:p w14:paraId="78BEDC27" w14:textId="77777777" w:rsidR="00A5588D" w:rsidRDefault="00A5588D" w:rsidP="00A5588D">
      <w:pPr>
        <w:jc w:val="both"/>
        <w:rPr>
          <w:lang w:val="el-GR"/>
        </w:rPr>
      </w:pPr>
      <w:r>
        <w:rPr>
          <w:lang w:val="el-GR"/>
        </w:rPr>
        <w:t>Για την αποτελεσματική διαχείριση της αλλαγής, οι δομημένες προσεγγίσεις ή τα μοντέλα είναι απαραίτητα. Τα μοντέλα διαχείρισης της αλλαγής παρέχουν έναν οδηγό, ή, αν προτιμάτε, έναν οδικό χάρτη για την εφαρμογή της αλλαγής. Δύο θεμελιώδη μοντέλα είναι το μοντέλο διαχείρισης της αλλαγής του Λέβιν, το οποίο αποτελείται από τα στάδια του λεγόμενου  "Ξεπαγώματος", της αλλαγής και του "Επαναπαγώματος", και το μοντέλο άντκαρ, το οποίο περιλαμβάνει τα στάδια "Επίγνωση", "Επιθυμία", "Γνώση", "Ικανότητα" και "Ενίσχυση", με τα αρχικά γράμματα κάθε σταδίου στην αγγλική γλώσσα να συνθέτουν το ακρωνύμιο του ονόματος του μοντέλου.</w:t>
      </w:r>
    </w:p>
    <w:p w14:paraId="4D10B9CE" w14:textId="77777777" w:rsidR="00A5588D" w:rsidRDefault="00A5588D" w:rsidP="00A5588D">
      <w:pPr>
        <w:jc w:val="both"/>
        <w:rPr>
          <w:b/>
          <w:bCs/>
          <w:lang w:val="el-GR"/>
        </w:rPr>
      </w:pPr>
      <w:r>
        <w:rPr>
          <w:b/>
          <w:bCs/>
          <w:lang w:val="el-GR"/>
        </w:rPr>
        <w:t xml:space="preserve">[Διαφάνεια 10]: </w:t>
      </w:r>
    </w:p>
    <w:p w14:paraId="15B4F492" w14:textId="77777777" w:rsidR="00A5588D" w:rsidRDefault="00A5588D" w:rsidP="00A5588D">
      <w:pPr>
        <w:jc w:val="both"/>
        <w:rPr>
          <w:b/>
          <w:bCs/>
          <w:lang w:val="el-GR"/>
        </w:rPr>
      </w:pPr>
      <w:r>
        <w:rPr>
          <w:lang w:val="el-GR"/>
        </w:rPr>
        <w:t>Ας εμβαθύνουμε αρχικά στο μοντέλο διαχείρισης αλλαγών του λέβιν. Το πρώτο στάδιο, το "Ξεπάγωμα", περιλαμβάνει την προετοιμασία του οργανισμού να αποδεχθεί ότι η αλλαγή είναι απαραίτητη. Αυτό περιλαμβάνει την κατάρριψη του υφιστάμενου στάτους κβο πριν από την οικοδόμηση ενός νέου τρόπου λειτουργίας. Στο στάδιο της Αλλαγής πραγματοποιείται η μετάβαση και εφαρμόζονται νέες συμπεριφορές και στάσεις. Τέλος, το στάδιο του επαναπαγώματος παγιώνει αυτές τις αλλαγές στις καθημερινές λειτουργίες, διασφαλίζοντας ότι είναι βιώσιμες μακροπρόθεσμα.</w:t>
      </w:r>
    </w:p>
    <w:p w14:paraId="5A174B9F" w14:textId="77777777" w:rsidR="00A5588D" w:rsidRDefault="00A5588D" w:rsidP="00A5588D">
      <w:pPr>
        <w:jc w:val="both"/>
        <w:rPr>
          <w:lang w:val="el-GR"/>
        </w:rPr>
      </w:pPr>
      <w:r>
        <w:rPr>
          <w:b/>
          <w:bCs/>
          <w:lang w:val="el-GR"/>
        </w:rPr>
        <w:t>[Διαφάνεια 11]</w:t>
      </w:r>
    </w:p>
    <w:p w14:paraId="4ABCF0A6" w14:textId="77777777" w:rsidR="00A5588D" w:rsidRDefault="00A5588D" w:rsidP="00A5588D">
      <w:pPr>
        <w:jc w:val="both"/>
        <w:rPr>
          <w:lang w:val="el-GR"/>
        </w:rPr>
      </w:pPr>
      <w:r>
        <w:rPr>
          <w:lang w:val="el-GR"/>
        </w:rPr>
        <w:t xml:space="preserve">Αναλυτικότερα, το στάδιο του ξεπαγώματος απαιτεί την αναγνώριση της ανάγκης για αλλαγή, τον προσδιορισμό του τι πρέπει να αλλάξει, την ενθάρρυνση της αντικατάστασης των παλαιών συμπεριφορών και στάσεων, την εξασφάλιση ισχυρής υποστήριξης από τη διοίκηση και τη διαχείριση των αμφιβολιών και των ανησυχιών. Κατά το στάδιο της Αλλαγής, η έμφαση δίνεται στο σχεδιασμό και την υλοποίηση των αλλαγών, βοηθώντας τους εργαζόμενους να μάθουν νέες έννοιες ή απόψεις. </w:t>
      </w:r>
      <w:r>
        <w:rPr>
          <w:lang w:val="el-GR"/>
        </w:rPr>
        <w:lastRenderedPageBreak/>
        <w:t>Στο στάδιο του επαναπαγώματος, οι αλλαγές ενισχύονται και σταθεροποιούνται, ενσωματώνονται στον κανονικό τρόπο λειτουργίας, διατηρούνται και γιορτάζονται για την επιτυχία τους.</w:t>
      </w:r>
    </w:p>
    <w:p w14:paraId="4D68DAA2" w14:textId="77777777" w:rsidR="00A5588D" w:rsidRDefault="00A5588D" w:rsidP="00A5588D">
      <w:pPr>
        <w:jc w:val="both"/>
        <w:rPr>
          <w:lang w:val="el-GR"/>
        </w:rPr>
      </w:pPr>
      <w:r>
        <w:rPr>
          <w:b/>
          <w:bCs/>
          <w:lang w:val="el-GR"/>
        </w:rPr>
        <w:t>[Διαφάνεια 12]</w:t>
      </w:r>
    </w:p>
    <w:p w14:paraId="4A9859E2" w14:textId="77777777" w:rsidR="00A5588D" w:rsidRDefault="00A5588D" w:rsidP="00A5588D">
      <w:pPr>
        <w:jc w:val="both"/>
        <w:rPr>
          <w:lang w:val="el-GR"/>
        </w:rPr>
      </w:pPr>
      <w:r>
        <w:rPr>
          <w:lang w:val="el-GR"/>
        </w:rPr>
        <w:t>Τώρα, ας εξερευνήσουμε το μοντέλο άντκαρ, το οποίο είναι ακρωνύμιο των αγγλικών λέξεων για τις έννοιες της Επίγνωσης, της Επιθυμίας, της Γνώσης, της Ικανότητας και της Ενίσχυσης. Αυτό το μοντέλο επικεντρώνεται στην ατομική αλλαγή και στο πώς οι άνθρωποι κινούνται μέσα από τη διαδικασία της αλλαγής. Η επίγνωση περιλαμβάνει την κατανόηση της ανάγκης για αλλαγή. Η επιθυμία αντιπροσωπεύει το κίνητρο για συμμετοχή και υποστήριξη της αλλαγής. Η γνώση αφορά τις πληροφορίες σχετικά με τον τρόπο αλλαγής. Η ικανότητα περιλαμβάνει τις δεξιότητες και τις συμπεριφορές που απαιτούνται για την εφαρμογή της αλλαγής. Τέλος, η Ενίσχυση διασφαλίζει τη διατήρηση της αλλαγής και αποτρέπει την οπισθοδρόμηση.</w:t>
      </w:r>
    </w:p>
    <w:p w14:paraId="51BD158E" w14:textId="77777777" w:rsidR="00A5588D" w:rsidRDefault="00A5588D" w:rsidP="00A5588D">
      <w:pPr>
        <w:jc w:val="both"/>
        <w:rPr>
          <w:lang w:val="el-GR"/>
        </w:rPr>
      </w:pPr>
      <w:r>
        <w:rPr>
          <w:b/>
          <w:bCs/>
          <w:lang w:val="el-GR"/>
        </w:rPr>
        <w:t>[Διαφάνεια 13]</w:t>
      </w:r>
    </w:p>
    <w:p w14:paraId="5DF0DC59" w14:textId="77777777" w:rsidR="00A5588D" w:rsidRDefault="00A5588D" w:rsidP="00A5588D">
      <w:pPr>
        <w:jc w:val="both"/>
        <w:rPr>
          <w:lang w:val="el-GR"/>
        </w:rPr>
      </w:pPr>
      <w:r>
        <w:rPr>
          <w:lang w:val="el-GR"/>
        </w:rPr>
        <w:t>Στην πράξη, η ενημερότητα συνίσταται στην ανακοίνωση της αλλαγής στους εργαζόμενους αρκετά νωρίτερα και στην εξήγηση του λόγου πίσω από αυτήν, συμπεριλαμβανομένων των σημερινών τρωτών σημείων και της πιθανής απόδοσης της επένδυσης στην αλλαγή. Η δημιουργία επιθυμίας περιλαμβάνει την αξιολόγηση των αντιδράσεων των εργαζομένων στην αλλαγή, τον εντοπισμό των «πρωταθλητών» και την επίλυση των προβληματισμών, ώστε να δειχτεί πώς η αλλαγή τους ωφελεί προσωπικά. Η παροχή γνώσης συνεπάγεται την προσφορά κατάρτισης ή καθοδήγησης ώστε να καταστεί σαφές τι πρέπει να κάνουν οι εργαζόμενοι μετά την πραγματοποίηση της αλλαγής, και την αντιμετώπιση τυχόν ελλείψεων δεξιοτήτων. Η ανάπτυξη της ικανότητας περιλαμβάνει τον προγραμματισμό δοκιμαστικών εκτελέσεων πριν από την πλήρη εφαρμογή, την παρακολούθηση της απόδοσης και την παροχή εποικοδομητικής ανατροφοδότησης. Η ενίσχυση περιλαμβάνει την παρακολούθηση της αλλαγής με την πάροδο του χρόνου για να διασφαλιστεί ότι εκπληρώνει το επιθυμητό αποτέλεσμα, χρησιμοποιώντας θετική ανατροφοδότηση, ανταμοιβές και αναγνώριση για να ενθαρρύνει την τήρηση της νέας διαδικασίας.</w:t>
      </w:r>
    </w:p>
    <w:p w14:paraId="7C423485" w14:textId="77777777" w:rsidR="00A5588D" w:rsidRDefault="00A5588D" w:rsidP="00A5588D">
      <w:pPr>
        <w:jc w:val="both"/>
        <w:rPr>
          <w:b/>
          <w:lang w:val="el-GR"/>
        </w:rPr>
      </w:pPr>
      <w:r>
        <w:rPr>
          <w:b/>
          <w:lang w:val="el-GR"/>
        </w:rPr>
        <w:t>[Διαφάνεια 14]</w:t>
      </w:r>
    </w:p>
    <w:p w14:paraId="12E5CBA1" w14:textId="77777777" w:rsidR="00A5588D" w:rsidRDefault="00A5588D" w:rsidP="00A5588D">
      <w:pPr>
        <w:jc w:val="both"/>
        <w:rPr>
          <w:lang w:val="el-GR"/>
        </w:rPr>
      </w:pPr>
      <w:r>
        <w:rPr>
          <w:lang w:val="el-GR"/>
        </w:rPr>
        <w:t>Το μοντέλο αλλαγής 8 βημάτων του Κότερ είναι ένα άλλο πολύτιμο πλαίσιο καθοδήγησης.</w:t>
      </w:r>
    </w:p>
    <w:p w14:paraId="14C195F7" w14:textId="77777777" w:rsidR="00A5588D" w:rsidRDefault="00A5588D" w:rsidP="00A5588D">
      <w:pPr>
        <w:jc w:val="both"/>
        <w:rPr>
          <w:lang w:val="el-GR"/>
        </w:rPr>
      </w:pPr>
      <w:r>
        <w:rPr>
          <w:b/>
          <w:bCs/>
          <w:lang w:val="el-GR"/>
        </w:rPr>
        <w:t>[Διαφάνεια 15]</w:t>
      </w:r>
    </w:p>
    <w:p w14:paraId="61A2DA3A" w14:textId="77777777" w:rsidR="00A5588D" w:rsidRDefault="00A5588D" w:rsidP="00A5588D">
      <w:pPr>
        <w:jc w:val="both"/>
        <w:rPr>
          <w:lang w:val="el-GR"/>
        </w:rPr>
      </w:pPr>
      <w:r>
        <w:rPr>
          <w:lang w:val="el-GR"/>
        </w:rPr>
        <w:t>Το μοντέλο ξεκινά με τη δημιουργία μιας αίσθησης επείγοντος για να τονιστεί η σημασία και η αμεσότητα της αλλαγής. Στη συνέχεια, συνιστάται η θέσπιση ενός ισχυρού συνασπισμού, συγκεντρώνοντας μια ομάδα με αρκετή δύναμη για να ηγηθεί της αλλαγής. Άλλα κομβικά βήματα αποτελούν η δημιουργία ενός οράματος για την αλλαγή ώστε να κατευθυνθούν οι προσπάθειες, καθώς και η επικοινωνία αυτού του οράματος  μέσω κάθε δυνατού διαύλου.</w:t>
      </w:r>
    </w:p>
    <w:p w14:paraId="3F9AD76F" w14:textId="77777777" w:rsidR="00A5588D" w:rsidRDefault="00A5588D" w:rsidP="00A5588D">
      <w:pPr>
        <w:jc w:val="both"/>
        <w:rPr>
          <w:lang w:val="el-GR"/>
        </w:rPr>
      </w:pPr>
      <w:r>
        <w:rPr>
          <w:b/>
          <w:bCs/>
          <w:lang w:val="el-GR"/>
        </w:rPr>
        <w:t>[Διαφάνεια 16]</w:t>
      </w:r>
    </w:p>
    <w:p w14:paraId="32479A89" w14:textId="77777777" w:rsidR="00A5588D" w:rsidRDefault="00A5588D" w:rsidP="00A5588D">
      <w:pPr>
        <w:jc w:val="both"/>
        <w:rPr>
          <w:lang w:val="el-GR"/>
        </w:rPr>
      </w:pPr>
      <w:r>
        <w:rPr>
          <w:lang w:val="el-GR"/>
        </w:rPr>
        <w:t>Τα επόμενα βήματα περιλαμβάνουν την άρση των εμποδίων με την αλλαγή των συστημάτων ή των δομών που υπονομεύουν το όραμα, τη δημιουργία βραχυπρόθεσμων νικών για να φανεί η πρόοδος, την αξιοποίηση της αλλαγής για την παραγωγή περισσότερων βελτιώσεων και την εδραίωση των αλλαγών στην εταιρική κουλτούρα για να εξασφαλιστεί η διατήρησή τους. Κάθε ένα από αυτά τα βήματα βασίζεται στα προηγούμενα, δημιουργώντας μια ολοκληρωμένη στρατηγική για την επιτυχή εφαρμογή της αλλαγής.</w:t>
      </w:r>
    </w:p>
    <w:p w14:paraId="0000521D" w14:textId="77777777" w:rsidR="00A5588D" w:rsidRDefault="00A5588D" w:rsidP="00A5588D">
      <w:pPr>
        <w:jc w:val="both"/>
        <w:rPr>
          <w:lang w:val="el-GR"/>
        </w:rPr>
      </w:pPr>
      <w:r>
        <w:rPr>
          <w:b/>
          <w:bCs/>
          <w:lang w:val="el-GR"/>
        </w:rPr>
        <w:t>[Διαφάνεια 17]</w:t>
      </w:r>
    </w:p>
    <w:p w14:paraId="275ADBEF" w14:textId="77777777" w:rsidR="00A5588D" w:rsidRDefault="00A5588D" w:rsidP="00A5588D">
      <w:pPr>
        <w:jc w:val="both"/>
        <w:rPr>
          <w:lang w:val="el-GR"/>
        </w:rPr>
      </w:pPr>
      <w:r>
        <w:rPr>
          <w:lang w:val="el-GR"/>
        </w:rPr>
        <w:lastRenderedPageBreak/>
        <w:t xml:space="preserve">Η ψηφιοποίηση είναι μια άλλη σημαντική πτυχή της αλλαγής στην υγειονομική περίθαλψη, που συνοδεύεται από ευκαιρίες, αλλά και από προκλήσεις. </w:t>
      </w:r>
    </w:p>
    <w:p w14:paraId="63B4188B" w14:textId="77777777" w:rsidR="00A5588D" w:rsidRDefault="00A5588D" w:rsidP="00A5588D">
      <w:pPr>
        <w:jc w:val="both"/>
        <w:rPr>
          <w:lang w:val="el-GR"/>
        </w:rPr>
      </w:pPr>
    </w:p>
    <w:p w14:paraId="0F1E8762" w14:textId="77777777" w:rsidR="00A5588D" w:rsidRDefault="00A5588D" w:rsidP="00A5588D">
      <w:pPr>
        <w:jc w:val="both"/>
        <w:rPr>
          <w:b/>
          <w:lang w:val="el-GR"/>
        </w:rPr>
      </w:pPr>
      <w:r>
        <w:rPr>
          <w:b/>
          <w:lang w:val="el-GR"/>
        </w:rPr>
        <w:t>[Διαφάνεια 18]</w:t>
      </w:r>
    </w:p>
    <w:p w14:paraId="213C69E2" w14:textId="77777777" w:rsidR="00A5588D" w:rsidRDefault="00A5588D" w:rsidP="00A5588D">
      <w:pPr>
        <w:jc w:val="both"/>
        <w:rPr>
          <w:lang w:val="el-GR"/>
        </w:rPr>
      </w:pPr>
      <w:r>
        <w:rPr>
          <w:lang w:val="el-GR"/>
        </w:rPr>
        <w:t>Οι θετικές επιπτώσεις περιλαμβάνουν τη βελτίωση της φροντίδας των ασθενών μέσω της τηλεϊατρικής, των ηλεκτρονικών αρχείων υγείας και της χρήσης της τεχνητής νοημοσύνης στη διάγνωση, καθώς και την αύξηση της αποτελεσματικότητας από την αυτοματοποίηση και την καλύτερη διαχείριση των πόρων.</w:t>
      </w:r>
    </w:p>
    <w:p w14:paraId="25B6CE2F" w14:textId="77777777" w:rsidR="00A5588D" w:rsidRDefault="00A5588D" w:rsidP="00A5588D">
      <w:pPr>
        <w:jc w:val="both"/>
        <w:rPr>
          <w:lang w:val="el-GR"/>
        </w:rPr>
      </w:pPr>
    </w:p>
    <w:p w14:paraId="711094B2" w14:textId="77777777" w:rsidR="00A5588D" w:rsidRDefault="00A5588D" w:rsidP="00A5588D">
      <w:pPr>
        <w:jc w:val="both"/>
        <w:rPr>
          <w:lang w:val="el-GR"/>
        </w:rPr>
      </w:pPr>
      <w:r>
        <w:rPr>
          <w:b/>
          <w:bCs/>
          <w:lang w:val="el-GR"/>
        </w:rPr>
        <w:t>[Διαφάνεια 19]</w:t>
      </w:r>
    </w:p>
    <w:p w14:paraId="242576A3" w14:textId="77777777" w:rsidR="00A5588D" w:rsidRDefault="00A5588D" w:rsidP="00A5588D">
      <w:pPr>
        <w:jc w:val="both"/>
        <w:rPr>
          <w:lang w:val="el-GR"/>
        </w:rPr>
      </w:pPr>
      <w:r>
        <w:rPr>
          <w:lang w:val="el-GR"/>
        </w:rPr>
        <w:t>Ωστόσο, η ψηφιοποίηση παρουσιάζει συνοδεύεται επίσης από προκλήσεις, ιδίως όσον αφορά την ασφάλεια των δεδομένων και την ανάγκη για συνεχή κατάρτιση. Η προστασία του απορρήτου των ασθενών και η προστασία από επιθέσεις στον κυβερνοχώρο αποτελούν κρίσιμα ζητήματα. Επιπλέον, το προσωπικό της υγειονομικής περίθαλψης πρέπει να προσαρμόζεται συνεχώς στις νέες τεχνολογίες και ροές εργασίας, απαιτώντας συνεχή εκπαίδευση και υποστήριξη.</w:t>
      </w:r>
    </w:p>
    <w:p w14:paraId="4C451C5D" w14:textId="77777777" w:rsidR="00A5588D" w:rsidRDefault="00A5588D" w:rsidP="00A5588D">
      <w:pPr>
        <w:jc w:val="both"/>
        <w:rPr>
          <w:lang w:val="el-GR"/>
        </w:rPr>
      </w:pPr>
      <w:r>
        <w:rPr>
          <w:b/>
          <w:bCs/>
          <w:lang w:val="el-GR"/>
        </w:rPr>
        <w:t>[Διαφάνεια 20]</w:t>
      </w:r>
    </w:p>
    <w:p w14:paraId="125DEAC3" w14:textId="77777777" w:rsidR="00A5588D" w:rsidRDefault="00A5588D" w:rsidP="00A5588D">
      <w:pPr>
        <w:jc w:val="both"/>
        <w:rPr>
          <w:lang w:val="el-GR"/>
        </w:rPr>
      </w:pPr>
      <w:r>
        <w:rPr>
          <w:lang w:val="el-GR"/>
        </w:rPr>
        <w:t>Για να επικεντρωθούμε στην πρακτική εφαρμογή αυτών των εννοιών, ας δούμε μια μελέτη περίπτωσης ψηφιακού μετασχηματισμού σε ένα περιβάλλον υγειονομικής περίθαλψης. Θα αναλύσουμε την πορεία μιας ιδιωτικής κλινικής που ανέλαβε μια ολοκληρωμένη πρωτοβουλία ψηφιακού μετασχηματισμού με στόχο την ενίσχυση της φροντίδας των ασθενών και τη βελτίωση της λειτουργικής αποδοτικότητας.</w:t>
      </w:r>
    </w:p>
    <w:p w14:paraId="3803FF8D" w14:textId="77777777" w:rsidR="00A5588D" w:rsidRDefault="00A5588D" w:rsidP="00A5588D">
      <w:pPr>
        <w:jc w:val="both"/>
        <w:rPr>
          <w:b/>
          <w:bCs/>
          <w:lang w:val="el-GR"/>
        </w:rPr>
      </w:pPr>
      <w:r>
        <w:rPr>
          <w:b/>
          <w:bCs/>
          <w:lang w:val="el-GR"/>
        </w:rPr>
        <w:t xml:space="preserve">[Διαφάνεια 21]: </w:t>
      </w:r>
    </w:p>
    <w:p w14:paraId="0C6F8D5B" w14:textId="77777777" w:rsidR="00A5588D" w:rsidRDefault="00A5588D" w:rsidP="00A5588D">
      <w:pPr>
        <w:jc w:val="both"/>
        <w:rPr>
          <w:lang w:val="el-GR"/>
        </w:rPr>
      </w:pPr>
      <w:r>
        <w:rPr>
          <w:lang w:val="el-GR"/>
        </w:rPr>
        <w:t>Πριν από την εφαρμογή της αλλαγής, η κλινική αντιμετώπιζε προβλήματα με απαρχαιωμένες, χειροκίνητες διαδικασίες, αναποτελεσματικότητα στη διαχείριση των δεδομένων των ασθενών, καθυστερήσεις στην επικοινωνία μεταξύ του προσωπικού, περιορισμένη πρόσβαση στις πληροφορίες των ασθενών για τη λήψη αποφάσεων και αναποτελεσματική διαχείριση των πόρων και τον προγραμματισμό. Αυτές οι προκλήσεις υπογράμμισαν την ανάγκη για ψηφιακό μετασχηματισμό.</w:t>
      </w:r>
    </w:p>
    <w:p w14:paraId="2E8E9A53" w14:textId="77777777" w:rsidR="00A5588D" w:rsidRDefault="00A5588D" w:rsidP="00A5588D">
      <w:pPr>
        <w:jc w:val="both"/>
        <w:rPr>
          <w:lang w:val="el-GR"/>
        </w:rPr>
      </w:pPr>
      <w:r>
        <w:rPr>
          <w:b/>
          <w:bCs/>
          <w:lang w:val="el-GR"/>
        </w:rPr>
        <w:t>[Διαφάνεια 22]</w:t>
      </w:r>
    </w:p>
    <w:p w14:paraId="2FC339D2" w14:textId="77777777" w:rsidR="00A5588D" w:rsidRDefault="00A5588D" w:rsidP="00A5588D">
      <w:pPr>
        <w:jc w:val="both"/>
        <w:rPr>
          <w:lang w:val="el-GR"/>
        </w:rPr>
      </w:pPr>
      <w:r>
        <w:rPr>
          <w:lang w:val="el-GR"/>
        </w:rPr>
        <w:t>Κατά τη διάρκεια της υλοποίησης, η κλινική εισήγαγε Ηλεκτρονικά Αρχεία Υγείας, πλατφόρμες τηλεϊατρικής και διαγνωστικά εργαλεία με βάση την τεχνητή νοημοσύνη. Διεξήγαγαν προγράμματα κατάρτισης για το προσωπικό, εισήγαγαν σταδιακά τις νέες τεχνολογίες και διατήρησαν έναν συνεχή βρόχο ανατροφοδότησης για βελτιώσεις.</w:t>
      </w:r>
    </w:p>
    <w:p w14:paraId="6F8DF4B1" w14:textId="77777777" w:rsidR="00A5588D" w:rsidRDefault="00A5588D" w:rsidP="00A5588D">
      <w:pPr>
        <w:jc w:val="both"/>
        <w:rPr>
          <w:lang w:val="el-GR"/>
        </w:rPr>
      </w:pPr>
      <w:r>
        <w:rPr>
          <w:b/>
          <w:bCs/>
          <w:lang w:val="el-GR"/>
        </w:rPr>
        <w:t>[Διαφάνεια 23]</w:t>
      </w:r>
    </w:p>
    <w:p w14:paraId="33F12E7A" w14:textId="77777777" w:rsidR="00A5588D" w:rsidRDefault="00A5588D" w:rsidP="00A5588D">
      <w:pPr>
        <w:jc w:val="both"/>
        <w:rPr>
          <w:lang w:val="el-GR"/>
        </w:rPr>
      </w:pPr>
      <w:r>
        <w:rPr>
          <w:lang w:val="el-GR"/>
        </w:rPr>
        <w:t xml:space="preserve">Τα αποτελέσματα αυτού του ψηφιακού μετασχηματισμού ήταν αξιοσημείωτα. Παρατηρήθηκε βελτίωση των εκβάσεων των ασθενών, αυξημένη λειτουργική αποτελεσματικότητα και καλύτερη διαχείριση και προσβασιμότητα των δεδομένων. Ωστόσο, αντιμετωπίστηκαν επίσης προκλήσεις, συμπεριλαμβανομένης της αρχικής αντίστασης του προσωπικού και των τεχνικών ζητημάτων που απαιτούσαν επίλυση προβλημάτων. Τα βασικά συμπεράσματα από αυτή τη μελέτη περίπτωσης υπογραμμίζουν τη σημασία της ηγεσίας, της σαφούς επικοινωνίας, της συνεχούς υποστήριξης και της </w:t>
      </w:r>
      <w:r>
        <w:rPr>
          <w:lang w:val="el-GR"/>
        </w:rPr>
        <w:lastRenderedPageBreak/>
        <w:t>κατάρτισης του προσωπικού, καθώς και την ανάγκη παρακολούθησης και άμεσης αντιμετώπισης των προβλημάτων.</w:t>
      </w:r>
    </w:p>
    <w:p w14:paraId="4690C1AE" w14:textId="77777777" w:rsidR="00A5588D" w:rsidRDefault="00A5588D" w:rsidP="00A5588D">
      <w:pPr>
        <w:jc w:val="both"/>
        <w:rPr>
          <w:lang w:val="el-GR"/>
        </w:rPr>
      </w:pPr>
      <w:r>
        <w:rPr>
          <w:b/>
          <w:bCs/>
          <w:lang w:val="el-GR"/>
        </w:rPr>
        <w:t>[Διαφάνεια 24]</w:t>
      </w:r>
    </w:p>
    <w:p w14:paraId="3A63155D" w14:textId="77777777" w:rsidR="00A5588D" w:rsidRDefault="00A5588D" w:rsidP="00A5588D">
      <w:pPr>
        <w:jc w:val="both"/>
        <w:rPr>
          <w:lang w:val="el-GR"/>
        </w:rPr>
      </w:pPr>
      <w:r>
        <w:rPr>
          <w:lang w:val="el-GR"/>
        </w:rPr>
        <w:t>Εν κατακλείδι, η επιτυχής διαχείριση της αλλαγής στην υγειονομική περίθαλψη προϋποθέτει τη βαθιά κατανόηση της αντίστασης και των στρατηγικών προσεγγίσεων για την αντιμετώπισή της. Μοντέλα όπως το Λέβιν, το άντκαρ και το μοντέλο 8 βημάτων του Κότερ παρέχουν πολύτιμα πλαίσια για την εφαρμογή της αλλαγής. Η ψηφιοποίηση παρουσιάζει ευκαιρίες και προκλήσεις, που απαιτούν προσεκτικό σχεδιασμό και εκτέλεση. Αξιοποιώντας την αποτελεσματική επικοινωνία, τη δέσμευση των ενδιαφερομένων μερών και τη συνεχή υποστήριξη, οι οργανισμοί υγειονομικής περίθαλψης μπορούν να εφαρμόσουν επιτυχώς την αλλαγή και να βελτιώσουν τα συνολικά αποτελέσματα. Η μελέτη περίπτωσης του ψηφιακού μετασχηματισμού της κλινικής παρέχει πρακτικές ιδέες και διδάγματα, προσφέροντας έναν οδικό χάρτη για παρόμοιες πρωτοβουλίες.</w:t>
      </w:r>
    </w:p>
    <w:p w14:paraId="063772DF" w14:textId="77777777" w:rsidR="00A5588D" w:rsidRDefault="00A5588D" w:rsidP="00A5588D">
      <w:pPr>
        <w:jc w:val="both"/>
        <w:rPr>
          <w:lang w:val="el-GR"/>
        </w:rPr>
      </w:pPr>
    </w:p>
    <w:p w14:paraId="183E7F93" w14:textId="77777777" w:rsidR="00A5588D" w:rsidRDefault="00A5588D" w:rsidP="00A5588D">
      <w:pPr>
        <w:jc w:val="both"/>
        <w:rPr>
          <w:b/>
          <w:bCs/>
          <w:lang w:val="el-GR"/>
        </w:rPr>
      </w:pPr>
      <w:r>
        <w:rPr>
          <w:b/>
          <w:bCs/>
          <w:lang w:val="el-GR"/>
        </w:rPr>
        <w:t xml:space="preserve">[Διαφάνεια 25]: </w:t>
      </w:r>
    </w:p>
    <w:p w14:paraId="30B0E479" w14:textId="77777777" w:rsidR="00A5588D" w:rsidRDefault="00A5588D" w:rsidP="00A5588D">
      <w:pPr>
        <w:jc w:val="both"/>
        <w:rPr>
          <w:lang w:val="el-GR"/>
        </w:rPr>
      </w:pPr>
      <w:r>
        <w:rPr>
          <w:lang w:val="el-GR"/>
        </w:rPr>
        <w:t>Σας ευχαριστούμε για τη συμμετοχή σας σε αυτή την ενότητα. Για περαιτέρω ανάγνωση και αναφορές, παρακαλούμε ανατρέξτε στο παρεχόμενο υλικό. Σας ενθαρρύνουμε να εξερευνήσετε αυτούς τους πόρους για να εμβαθύνετε την κατανόησή σας και να συνεχίσετε το μαθησιακό σας ταξίδι.</w:t>
      </w:r>
    </w:p>
    <w:p w14:paraId="0D39C708" w14:textId="77777777" w:rsidR="00A5588D" w:rsidRDefault="00A5588D" w:rsidP="00A5588D">
      <w:pPr>
        <w:jc w:val="both"/>
        <w:rPr>
          <w:lang w:val="el-GR"/>
        </w:rPr>
      </w:pPr>
      <w:r>
        <w:rPr>
          <w:highlight w:val="yellow"/>
          <w:lang w:val="el-GR"/>
        </w:rPr>
        <w:t>[Διαφάνεια 26-27]: ΧΩΡΙΣ ΑΦΗΓΗΣΗ</w:t>
      </w:r>
    </w:p>
    <w:p w14:paraId="7C9545E9" w14:textId="77777777" w:rsidR="00A5588D" w:rsidRDefault="00A5588D" w:rsidP="00A5588D">
      <w:pPr>
        <w:jc w:val="both"/>
        <w:rPr>
          <w:b/>
          <w:lang w:val="el-GR"/>
        </w:rPr>
      </w:pPr>
      <w:r>
        <w:rPr>
          <w:b/>
          <w:lang w:val="el-GR"/>
        </w:rPr>
        <w:t>[Διαφάνεια 28]:</w:t>
      </w:r>
    </w:p>
    <w:p w14:paraId="05A7EAD8" w14:textId="77777777" w:rsidR="00A5588D" w:rsidRDefault="00A5588D" w:rsidP="00A5588D">
      <w:pPr>
        <w:jc w:val="both"/>
        <w:rPr>
          <w:lang w:val="el-GR"/>
        </w:rPr>
      </w:pPr>
      <w:r>
        <w:rPr>
          <w:lang w:val="el-GR"/>
        </w:rPr>
        <w:t>Εδώ ολοκληρώνεται η μαθησιακή μας ενότητα. Ελπίζουμε να τη βρήκατε κατατοπιστική και πολύτιμη για το ταξίδι σας στη διαχείριση της αλλαγής στην υγειονομική περίθαλψη. Εφαρμόζοντας τις έννοιες και τις στρατηγικές που συζητήθηκαν, μπορείτε να ηγηθείτε της αλλαγής με τρόπο δόκιμο, εξασφαλίζοντας καλύτερα αποτελέσματα για τον οργανισμό σας και βελτιωμένη φροντίδα για τους ασθενείς.</w:t>
      </w:r>
    </w:p>
    <w:p w14:paraId="3A88FA5D" w14:textId="2A63DD38" w:rsidR="00F105EE" w:rsidRPr="00194B12" w:rsidRDefault="00C92A2F" w:rsidP="00397062">
      <w:pPr>
        <w:spacing w:after="0" w:line="240" w:lineRule="auto"/>
        <w:rPr>
          <w:lang w:val="el-GR"/>
        </w:rPr>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D588E" w14:textId="77777777" w:rsidR="006A5682" w:rsidRDefault="006A5682" w:rsidP="00CA38A2">
      <w:pPr>
        <w:spacing w:after="0" w:line="240" w:lineRule="auto"/>
      </w:pPr>
      <w:r>
        <w:separator/>
      </w:r>
    </w:p>
  </w:endnote>
  <w:endnote w:type="continuationSeparator" w:id="0">
    <w:p w14:paraId="633D447D" w14:textId="77777777" w:rsidR="006A5682" w:rsidRDefault="006A5682"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67B11" w14:textId="77777777" w:rsidR="006A5682" w:rsidRDefault="006A5682" w:rsidP="00CA38A2">
      <w:pPr>
        <w:spacing w:after="0" w:line="240" w:lineRule="auto"/>
      </w:pPr>
      <w:r>
        <w:separator/>
      </w:r>
    </w:p>
  </w:footnote>
  <w:footnote w:type="continuationSeparator" w:id="0">
    <w:p w14:paraId="227E7931" w14:textId="77777777" w:rsidR="006A5682" w:rsidRDefault="006A5682"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6"/>
  </w:num>
  <w:num w:numId="5" w16cid:durableId="1515001117">
    <w:abstractNumId w:val="7"/>
  </w:num>
  <w:num w:numId="6" w16cid:durableId="325329681">
    <w:abstractNumId w:val="1"/>
  </w:num>
  <w:num w:numId="7" w16cid:durableId="564606079">
    <w:abstractNumId w:val="13"/>
  </w:num>
  <w:num w:numId="8" w16cid:durableId="360790641">
    <w:abstractNumId w:val="15"/>
  </w:num>
  <w:num w:numId="9" w16cid:durableId="975840892">
    <w:abstractNumId w:val="10"/>
  </w:num>
  <w:num w:numId="10" w16cid:durableId="167060576">
    <w:abstractNumId w:val="6"/>
  </w:num>
  <w:num w:numId="11" w16cid:durableId="1155075287">
    <w:abstractNumId w:val="14"/>
  </w:num>
  <w:num w:numId="12" w16cid:durableId="187456256">
    <w:abstractNumId w:val="0"/>
  </w:num>
  <w:num w:numId="13" w16cid:durableId="481384423">
    <w:abstractNumId w:val="2"/>
  </w:num>
  <w:num w:numId="14" w16cid:durableId="1718702920">
    <w:abstractNumId w:val="5"/>
  </w:num>
  <w:num w:numId="15" w16cid:durableId="698316277">
    <w:abstractNumId w:val="12"/>
  </w:num>
  <w:num w:numId="16" w16cid:durableId="645203414">
    <w:abstractNumId w:val="3"/>
  </w:num>
  <w:num w:numId="17" w16cid:durableId="8998304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94B12"/>
    <w:rsid w:val="001A14BC"/>
    <w:rsid w:val="001E4F54"/>
    <w:rsid w:val="0023017F"/>
    <w:rsid w:val="00252B92"/>
    <w:rsid w:val="00267F37"/>
    <w:rsid w:val="002B339F"/>
    <w:rsid w:val="002D5D92"/>
    <w:rsid w:val="002D6AE0"/>
    <w:rsid w:val="002E1500"/>
    <w:rsid w:val="00306F15"/>
    <w:rsid w:val="00382711"/>
    <w:rsid w:val="00387E74"/>
    <w:rsid w:val="00397062"/>
    <w:rsid w:val="003B05E4"/>
    <w:rsid w:val="003D2FEB"/>
    <w:rsid w:val="003D5AC4"/>
    <w:rsid w:val="003E5019"/>
    <w:rsid w:val="004462FA"/>
    <w:rsid w:val="005265C5"/>
    <w:rsid w:val="005563C5"/>
    <w:rsid w:val="00587B68"/>
    <w:rsid w:val="00603CE2"/>
    <w:rsid w:val="00630E74"/>
    <w:rsid w:val="006617F5"/>
    <w:rsid w:val="006A5682"/>
    <w:rsid w:val="006A7026"/>
    <w:rsid w:val="006C2944"/>
    <w:rsid w:val="006F60CE"/>
    <w:rsid w:val="00722993"/>
    <w:rsid w:val="00733F48"/>
    <w:rsid w:val="0074059A"/>
    <w:rsid w:val="00767421"/>
    <w:rsid w:val="0078304F"/>
    <w:rsid w:val="007D3023"/>
    <w:rsid w:val="007E050A"/>
    <w:rsid w:val="007F5365"/>
    <w:rsid w:val="0080406E"/>
    <w:rsid w:val="00816451"/>
    <w:rsid w:val="008749E6"/>
    <w:rsid w:val="00945EF8"/>
    <w:rsid w:val="00973B7D"/>
    <w:rsid w:val="009B3931"/>
    <w:rsid w:val="009C535F"/>
    <w:rsid w:val="00A05203"/>
    <w:rsid w:val="00A227CB"/>
    <w:rsid w:val="00A259BE"/>
    <w:rsid w:val="00A33985"/>
    <w:rsid w:val="00A42C11"/>
    <w:rsid w:val="00A5588D"/>
    <w:rsid w:val="00A75A68"/>
    <w:rsid w:val="00AB399B"/>
    <w:rsid w:val="00AE6741"/>
    <w:rsid w:val="00B24168"/>
    <w:rsid w:val="00B352CF"/>
    <w:rsid w:val="00B40315"/>
    <w:rsid w:val="00B75090"/>
    <w:rsid w:val="00B91166"/>
    <w:rsid w:val="00BC044E"/>
    <w:rsid w:val="00BD2BA9"/>
    <w:rsid w:val="00C35F85"/>
    <w:rsid w:val="00C64CEE"/>
    <w:rsid w:val="00C76120"/>
    <w:rsid w:val="00C83BDB"/>
    <w:rsid w:val="00C92A2F"/>
    <w:rsid w:val="00CA38A2"/>
    <w:rsid w:val="00CB1CEA"/>
    <w:rsid w:val="00CD6122"/>
    <w:rsid w:val="00D45848"/>
    <w:rsid w:val="00D460A3"/>
    <w:rsid w:val="00D50A33"/>
    <w:rsid w:val="00D616A4"/>
    <w:rsid w:val="00D74900"/>
    <w:rsid w:val="00DB56BE"/>
    <w:rsid w:val="00E607BF"/>
    <w:rsid w:val="00EC0C4F"/>
    <w:rsid w:val="00EF0FD2"/>
    <w:rsid w:val="00EF6A40"/>
    <w:rsid w:val="00F105EE"/>
    <w:rsid w:val="00F330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character" w:styleId="UnresolvedMention">
    <w:name w:val="Unresolved Mention"/>
    <w:basedOn w:val="DefaultParagraphFont"/>
    <w:uiPriority w:val="99"/>
    <w:semiHidden/>
    <w:unhideWhenUsed/>
    <w:rsid w:val="00F33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pass.healthworkforce.eu/wp-admin/admin.php?page=h5p&amp;task=show&amp;id=2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1976</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2026-04-08T19:20:00Z</dcterms:created>
  <dcterms:modified xsi:type="dcterms:W3CDTF">2026-04-08T20:19:00Z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